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Индии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6CDD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Если у Вас есть видеокамера, ноутбук Вам следует сообщить об этом таможенной службе, а затем предъявить видеокамеру, ноутбук при выезде. В случае их утери или кражи, немедленно заявите в полицию.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Помните: из Индии запрещен вывоз шкур тигров, диких животных и оперения птиц, кож и изделий из кож редких рептилий, живых растений, золота и серебра в слитках, предметов антиквариата и старины, изготовленных более 100 лет назад.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Министерство внутренних дел Индии внесло изменения в правила въезда в страну иностранных туристов. В частности, пересмотрена карта прибытия пассажиров (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Arrival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card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of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passengers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>), в которую добавились новые пункты.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Теперь туристы обязаны указывать в карте прибытия, есть ли у них с собой семена, растения, фрукты, мясная, рыбная или молочная продукция и спутниковый телефон. Также требуется указать, везет ли турист иностранную валюту в банкнотах на сумму более 5 000 долларов США и имеются ли у него другие средства в иностранной валюте (включая векселя, дорожные чеки, аккредитивы и т.д.) на сумму, превышающую 10 000 долларов США.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На такие меры власти пошли из-за участившихся нарушений установленных ограничений на ввоз в страну денег и спутниковых телефонов, сообщает посольство РФ в Индии. Ранее декларировать телефоны и валюту не требовалось.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6CDD">
        <w:rPr>
          <w:rFonts w:ascii="Tahoma" w:hAnsi="Tahoma" w:cs="Tahoma"/>
          <w:color w:val="000000" w:themeColor="text1"/>
          <w:sz w:val="21"/>
          <w:szCs w:val="21"/>
        </w:rPr>
        <w:t>Также таможенные органы Индии просят туристов декларировать следующие товары: ввозимые сверх нормы для физических лиц (до 200 сигарет, до 50 сигар, до 2 литров спиртных напитков, 60 мл духов и 250 мл туалетной воды); ввоз которых ограничен или запрещен (наркотические вещества, оружие, свинина и продукты из нее, золото и серебро в монетах и слитках);</w:t>
      </w:r>
      <w:proofErr w:type="gram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а также для коммерческих целей.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Иностранные туристы могут без уплаты таможенных пошлин ввозить на территорию Индии подарки и сувениры на сумму до 8 000 рупий ($156). Персональные компьютеры и ноутбуки надлежит обязательно указать во въездной декларации для последующего вывоза из страны. Вывоз валюты допускается в количестве, объявленном туристом во въездной декларации.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Гражданам России для въезда в страну требуется виза в Индию.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При подаче документов на оформление визы необходимо учитывать следующее: день сдачи документов, день вылета, выходные и праздничные дни посольства Индии не учитываются.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НЕОБХОДИМО ЗАБЛАГОВРЕМЕННОЕ ОФОРМЛЕНИЕ ВИЗЫ В КОНСУЛЬСТВЕ ИНДИИ (Виза по прилету не оформляется!).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Стоимость оформления однократной  визы в ГОА: для граждан РФ - 70 USD с человека. Для граждан других стран - 85 USD. Для граждан США – 100 USD.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Для граждан СНГ и иностранных граждан виза рассматривается до 3х месяцев. Паспорт работников СМИ, кино, рекламы рассматривается до 20 рабочих дней.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Срок действия паспорта должен истекать не позднее 6 месяцев со дня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наала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поездки.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lastRenderedPageBreak/>
        <w:t>Пройти таможенный досмотр, для чего заполнить таможенную декларацию. Если сумма вывозимых денег у вас меньше 3000$ США на человека и у вас нет предметов, подлежащих декларированию, то декларацию заполнять не надо. В этом случае Вы проходите по «зеленому» коридору. При заполнении бланка не забудьте указать всю сумму иностранной валюты, которую вы взяли с собой.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здесь.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В стране прилета вас встретит представитель фирмы с табличкой.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 Следует точно знать название города и отеля, в который вы направляетесь.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В отеле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Расчетный час в отелях - 12:00. Если в номере имеется мини-бар, то все напитки, взятые из него в период Вашего пребывания в отеле, должны быть оплачены в день отъезда в службе размещения отеля (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Reception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). Счета за телефонные переговоры, которые велись из номера, оплачиваются в день отъезда в службе размещения отеля. Пользуйтесь сейфом для хранения документов, денег и ценностей. Если сейф находится в Вашем номере, то для того, чтобы воспользоваться им, Вам необходимо взять ключ у портье. Аренда сейфа стоит 1 - 3$ в день. Возможно, Вам придется оставить за ключ небольшой денежный залог. Если в номере нет сейфа, можете воспользоваться сейфом отеля, расположенным на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Reception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 и меры предосторожности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Рекомендуем провести профилактику малярии.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Воду из-под крана пить категорически не рекомендуется. Чтобы избежать расстройства желудка, лучше всего отказаться от нечищеных фруктов, сырых овощей, соков.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Принимающая сторона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Тел.: +91 955 255 0116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Служба поддержки туристов за рубежом (с 09:00 до 21:00 по московскому времени):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+7 (495) 287 87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87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(#2); +7 (800) 700 87 47 (#2) - бесплатно для звонков из России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Посольство России в Дели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Адрес</w:t>
      </w:r>
      <w:r w:rsidRPr="00176CDD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: </w:t>
      </w:r>
      <w:proofErr w:type="spellStart"/>
      <w:proofErr w:type="gramStart"/>
      <w:r w:rsidRPr="00176CDD">
        <w:rPr>
          <w:rFonts w:ascii="Tahoma" w:hAnsi="Tahoma" w:cs="Tahoma"/>
          <w:color w:val="000000" w:themeColor="text1"/>
          <w:sz w:val="21"/>
          <w:szCs w:val="21"/>
          <w:lang w:val="en-US"/>
        </w:rPr>
        <w:t>Shantipath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  <w:lang w:val="en-US"/>
        </w:rPr>
        <w:t>.</w:t>
      </w:r>
      <w:proofErr w:type="gramEnd"/>
      <w:r w:rsidRPr="00176CDD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  <w:lang w:val="en-US"/>
        </w:rPr>
        <w:t>Chanakapuri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  <w:lang w:val="en-US"/>
        </w:rPr>
        <w:t>, New Delhi, 110021, India,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тел.: (8-10-9111) 2611 -0640</w:t>
      </w:r>
      <w:proofErr w:type="gramStart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( </w:t>
      </w:r>
      <w:proofErr w:type="gramEnd"/>
      <w:r w:rsidRPr="00176CDD">
        <w:rPr>
          <w:rFonts w:ascii="Tahoma" w:hAnsi="Tahoma" w:cs="Tahoma"/>
          <w:color w:val="000000" w:themeColor="text1"/>
          <w:sz w:val="21"/>
          <w:szCs w:val="21"/>
        </w:rPr>
        <w:t>41,42); 2687-3800;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факс: 2687-6823;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lastRenderedPageBreak/>
        <w:t>e-mail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>: </w:t>
      </w:r>
      <w:hyperlink r:id="rId4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indrusem@del2.vsnl.net.in</w:t>
        </w:r>
      </w:hyperlink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Часы работы посольства: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понедельник, четверг: 8:00-14:00, 15:30 -18:30; вторник, среда, пятница:  8:00 -14:00.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- плюс 2,5 часа. В данный момент перехода на летнее время нет. Стандартный часовой пояс: UTC/GMT +5:30 часов.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Географическое положение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Индия расположена на юге Азии. Страна имеет протяженность 3214 км с севера на юг и 2933 км с запада на восток. К югу полуостров начинает сужаться и вдается в Индийский океан на расстояние 1600 км в форме клина, который омывается Бенгальским заливом на востоке и Аравийским морем на западе. Индия граничит на северо-западе с Афганистаном и Пакистаном, на севере - с Китаем, Непалом и Бутаном, на востоке с Бирмой и Бангладеш. На юге узкий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Полкский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пролив  и Манарский залив отделяют Индию от Шри-Ланки. По проливу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Грейт-Ченнел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между островами Большой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Никобар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и Суматра проходит морская граница между Индией и Индонезией.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Индия занимает 2-е место в мире по численности населения более-1 млрд.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Индия — многонациональная страна. Крупнейшие народы: </w:t>
      </w:r>
      <w:hyperlink r:id="rId5" w:tooltip="Хиндустанцы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хиндустанцы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6" w:tooltip="Телугу (народ)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телугу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7" w:tooltip="Маратхи (народ)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маратхи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8" w:tooltip="Бенгальцы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бенгальцы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9" w:tooltip="Тамилы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тамилы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10" w:tooltip="Гуджаратцы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гуджаратцы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11" w:tooltip="Каннара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каннара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12" w:tooltip="Пенджабцы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пенджабцы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Государственные языки - английский и хинди.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Национальная денежная единица - индийская рупия. Курс рупии стабилен и составляет около 66.74рупия за 1 доллар США (актуально на 04/2016). Валюту разрешено менять только в специальных пунктах обмена, в отеле или в аэропорту. Обязательно сохраняйте справки по обмену валюты, их необходимо будет сдать при регистрации на рейс в аэропорту. Помните, что обратный обмен иногда бывает проблематичным, поэтому меняйте деньги по мере надобности.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Мягкий климат - средняя температура +25 - +27 градусов в течение всего года, короткий период муссонов - в июне. Температура воздуха летом +24 - +33, зимой +21 - +32.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В больших городах работают такси и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авторикши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>, оплачиваемые по таксе. У них не всегда имеются счетчики, но если счетчик установлен, требуйте его включения при посадке. Цены на услуги такси время от времени меняются и поэтому не всегда соответствуют показаниям счетчика, однако у водителя обязательно должна быть копия действующего тарифа. Стоимость проезда на рикшах примерно в два раза дешевле стоимости проезда на такси. В туристических центрах к услугам гостей большое количество автомобилей с шофером.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Прейскурант их услуг, утверждаемый Департаментом по туризму правительства Индии, несколько выше, чем у такси. Аренда автомобилей без водителя не распространена.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Связь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Российские мобильные телефоны в </w:t>
      </w:r>
      <w:proofErr w:type="spellStart"/>
      <w:r w:rsidRPr="00176CDD">
        <w:rPr>
          <w:rFonts w:ascii="Tahoma" w:hAnsi="Tahoma" w:cs="Tahoma"/>
          <w:color w:val="000000" w:themeColor="text1"/>
          <w:sz w:val="21"/>
          <w:szCs w:val="21"/>
        </w:rPr>
        <w:t>Гоа</w:t>
      </w:r>
      <w:proofErr w:type="spell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регистрируются в сети. Если Вы планируете много разговаривать по мобильному телефону, вы можете приобрести местную SIM-карту (обязательно наличие вашей фотографии) и оплачивать свои разговоры с помощью карточек </w:t>
      </w:r>
      <w:proofErr w:type="spellStart"/>
      <w:proofErr w:type="gramStart"/>
      <w:r w:rsidRPr="00176CDD">
        <w:rPr>
          <w:rFonts w:ascii="Tahoma" w:hAnsi="Tahoma" w:cs="Tahoma"/>
          <w:color w:val="000000" w:themeColor="text1"/>
          <w:sz w:val="21"/>
          <w:szCs w:val="21"/>
        </w:rPr>
        <w:t>экспресс-оплаты</w:t>
      </w:r>
      <w:proofErr w:type="spellEnd"/>
      <w:proofErr w:type="gramEnd"/>
      <w:r w:rsidRPr="00176CDD">
        <w:rPr>
          <w:rFonts w:ascii="Tahoma" w:hAnsi="Tahoma" w:cs="Tahoma"/>
          <w:color w:val="000000" w:themeColor="text1"/>
          <w:sz w:val="21"/>
          <w:szCs w:val="21"/>
        </w:rPr>
        <w:t xml:space="preserve"> - стоимость 1 минуты разговора с Россией будет стоить около 1 доллара США - этот способ мобильной связи значительно дешевле. Международная стационарная связь осуществляется из пунктов связи STD/ISD (оплата наличными, после разговора). Если Вы звоните из номера отеля, то стоимость этой услуги примерно в 3 раза дороже, чем разговор из телефона-автомата.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Для осуществления звонков в Россию следует набирать: 00 - 7 (код России) – (код города) – (номер телефона).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lastRenderedPageBreak/>
        <w:t>Религия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В </w:t>
      </w:r>
      <w:hyperlink r:id="rId13" w:tooltip="Индия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Индии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 80% населения исповедуют </w:t>
      </w:r>
      <w:hyperlink r:id="rId14" w:tooltip="Индуизм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индуизм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. Вторая распространённая религия это </w:t>
      </w:r>
      <w:hyperlink r:id="rId15" w:tooltip="Ислам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ислам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 с около 13 % последователей. В Индии зародились и существуют </w:t>
      </w:r>
      <w:hyperlink r:id="rId16" w:tooltip="Буддизм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буддизм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, </w:t>
      </w:r>
      <w:hyperlink r:id="rId17" w:tooltip="Джайнизм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джайнизм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 и </w:t>
      </w:r>
      <w:hyperlink r:id="rId18" w:tooltip="Сикхизм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сикхизм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. 2 % населения исповедуют </w:t>
      </w:r>
      <w:hyperlink r:id="rId19" w:tooltip="Христианство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христианство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. С Индией также связаны </w:t>
      </w:r>
      <w:hyperlink r:id="rId20" w:tooltip="Иудаизм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иудаизм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 и </w:t>
      </w:r>
      <w:hyperlink r:id="rId21" w:tooltip="Зороастризм" w:history="1">
        <w:r w:rsidRPr="00176CDD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зороастризм</w:t>
        </w:r>
      </w:hyperlink>
      <w:r w:rsidRPr="00176CDD">
        <w:rPr>
          <w:rFonts w:ascii="Tahoma" w:hAnsi="Tahoma" w:cs="Tahoma"/>
          <w:color w:val="000000" w:themeColor="text1"/>
          <w:sz w:val="21"/>
          <w:szCs w:val="21"/>
        </w:rPr>
        <w:t>; в стране эти религии имеют по несколько тысяч последователей.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Style w:val="a4"/>
          <w:rFonts w:ascii="Tahoma" w:hAnsi="Tahoma" w:cs="Tahoma"/>
          <w:color w:val="000000" w:themeColor="text1"/>
          <w:sz w:val="21"/>
          <w:szCs w:val="21"/>
        </w:rPr>
        <w:t>Традиции и обычаи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В частных домах туристов принимают как почетных гостей, и к Вашему незнанию традиций отнесутся с пониманием и снисходительно. Если Вам захочется попробовать, есть руками, то помните, что надо пользоваться только пальцами правой руки (левая не считается чистой).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Считается неуважительным носить длинные или средней длины распущенные волосы, поэтому индийские женщины собирают волосы в пучок или в косу.</w:t>
      </w:r>
    </w:p>
    <w:p w:rsidR="00176CDD" w:rsidRPr="00176CDD" w:rsidRDefault="00176CDD" w:rsidP="00176CD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DD">
        <w:rPr>
          <w:rFonts w:ascii="Tahoma" w:hAnsi="Tahoma" w:cs="Tahoma"/>
          <w:color w:val="000000" w:themeColor="text1"/>
          <w:sz w:val="21"/>
          <w:szCs w:val="21"/>
        </w:rPr>
        <w:t>Не принято проявление чу</w:t>
      </w:r>
      <w:proofErr w:type="gramStart"/>
      <w:r w:rsidRPr="00176CDD">
        <w:rPr>
          <w:rFonts w:ascii="Tahoma" w:hAnsi="Tahoma" w:cs="Tahoma"/>
          <w:color w:val="000000" w:themeColor="text1"/>
          <w:sz w:val="21"/>
          <w:szCs w:val="21"/>
        </w:rPr>
        <w:t>вств пр</w:t>
      </w:r>
      <w:proofErr w:type="gramEnd"/>
      <w:r w:rsidRPr="00176CDD">
        <w:rPr>
          <w:rFonts w:ascii="Tahoma" w:hAnsi="Tahoma" w:cs="Tahoma"/>
          <w:color w:val="000000" w:themeColor="text1"/>
          <w:sz w:val="21"/>
          <w:szCs w:val="21"/>
        </w:rPr>
        <w:t>илюдно, таких, например, как объятия и поцелуи, это считается неприличным среди местных жителей. Не стоит даже держаться за руки мужчине и женщине на публике. При разговоре с индийцами старайтесь никогда не кричать и не выходить из себя, иначе они просто не будут общаться.</w:t>
      </w:r>
    </w:p>
    <w:p w:rsidR="00B85C51" w:rsidRPr="00176CDD" w:rsidRDefault="00B85C51" w:rsidP="00176CDD">
      <w:pPr>
        <w:shd w:val="clear" w:color="auto" w:fill="FFFFFF" w:themeFill="background1"/>
        <w:rPr>
          <w:color w:val="000000" w:themeColor="text1"/>
        </w:rPr>
      </w:pPr>
    </w:p>
    <w:sectPr w:rsidR="00B85C51" w:rsidRPr="00176CDD" w:rsidSect="00176CDD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DD"/>
    <w:rsid w:val="00176CDD"/>
    <w:rsid w:val="00B8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CDD"/>
    <w:rPr>
      <w:b/>
      <w:bCs/>
    </w:rPr>
  </w:style>
  <w:style w:type="character" w:styleId="a5">
    <w:name w:val="Hyperlink"/>
    <w:basedOn w:val="a0"/>
    <w:uiPriority w:val="99"/>
    <w:semiHidden/>
    <w:unhideWhenUsed/>
    <w:rsid w:val="00176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D%D0%B3%D0%B0%D0%BB%D1%8C%D1%86%D1%8B" TargetMode="External"/><Relationship Id="rId13" Type="http://schemas.openxmlformats.org/officeDocument/2006/relationships/hyperlink" Target="http://ru.wikipedia.org/wiki/%D0%98%D0%BD%D0%B4%D0%B8%D1%8F" TargetMode="External"/><Relationship Id="rId18" Type="http://schemas.openxmlformats.org/officeDocument/2006/relationships/hyperlink" Target="http://ru.wikipedia.org/wiki/%D0%A1%D0%B8%D0%BA%D1%85%D0%B8%D0%B7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7%D0%BE%D1%80%D0%BE%D0%B0%D1%81%D1%82%D1%80%D0%B8%D0%B7%D0%BC" TargetMode="External"/><Relationship Id="rId7" Type="http://schemas.openxmlformats.org/officeDocument/2006/relationships/hyperlink" Target="http://ru.wikipedia.org/wiki/%D0%9C%D0%B0%D1%80%D0%B0%D1%82%D1%85%D0%B8_%28%D0%BD%D0%B0%D1%80%D0%BE%D0%B4%29" TargetMode="External"/><Relationship Id="rId12" Type="http://schemas.openxmlformats.org/officeDocument/2006/relationships/hyperlink" Target="http://ru.wikipedia.org/wiki/%D0%9F%D0%B5%D0%BD%D0%B4%D0%B6%D0%B0%D0%B1%D1%86%D1%8B" TargetMode="External"/><Relationship Id="rId17" Type="http://schemas.openxmlformats.org/officeDocument/2006/relationships/hyperlink" Target="http://ru.wikipedia.org/wiki/%D0%94%D0%B6%D0%B0%D0%B9%D0%BD%D0%B8%D0%B7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1%D1%83%D0%B4%D0%B4%D0%B8%D0%B7%D0%BC" TargetMode="External"/><Relationship Id="rId20" Type="http://schemas.openxmlformats.org/officeDocument/2006/relationships/hyperlink" Target="http://ru.wikipedia.org/wiki/%D0%98%D1%83%D0%B4%D0%B0%D0%B8%D0%B7%D0%BC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0%BB%D1%83%D0%B3%D1%83_%28%D0%BD%D0%B0%D1%80%D0%BE%D0%B4%29" TargetMode="External"/><Relationship Id="rId11" Type="http://schemas.openxmlformats.org/officeDocument/2006/relationships/hyperlink" Target="http://ru.wikipedia.org/wiki/%D0%9A%D0%B0%D0%BD%D0%BD%D0%B0%D1%80%D0%B0" TargetMode="External"/><Relationship Id="rId5" Type="http://schemas.openxmlformats.org/officeDocument/2006/relationships/hyperlink" Target="http://ru.wikipedia.org/wiki/%D0%A5%D0%B8%D0%BD%D0%B4%D1%83%D1%81%D1%82%D0%B0%D0%BD%D1%86%D1%8B" TargetMode="External"/><Relationship Id="rId15" Type="http://schemas.openxmlformats.org/officeDocument/2006/relationships/hyperlink" Target="http://ru.wikipedia.org/wiki/%D0%98%D1%81%D0%BB%D0%B0%D0%B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3%D1%83%D0%B4%D0%B6%D0%B0%D1%80%D0%B0%D1%82%D1%86%D1%8B" TargetMode="External"/><Relationship Id="rId19" Type="http://schemas.openxmlformats.org/officeDocument/2006/relationships/hyperlink" Target="http://ru.wikipedia.org/wiki/%D0%A5%D1%80%D0%B8%D1%81%D1%82%D0%B8%D0%B0%D0%BD%D1%81%D1%82%D0%B2%D0%BE" TargetMode="External"/><Relationship Id="rId4" Type="http://schemas.openxmlformats.org/officeDocument/2006/relationships/hyperlink" Target="mailto:indrusem@del2.vsnl.net.in" TargetMode="External"/><Relationship Id="rId9" Type="http://schemas.openxmlformats.org/officeDocument/2006/relationships/hyperlink" Target="http://ru.wikipedia.org/wiki/%D0%A2%D0%B0%D0%BC%D0%B8%D0%BB%D1%8B" TargetMode="External"/><Relationship Id="rId14" Type="http://schemas.openxmlformats.org/officeDocument/2006/relationships/hyperlink" Target="http://ru.wikipedia.org/wiki/%D0%98%D0%BD%D0%B4%D1%83%D0%B8%D0%B7%D0%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2073</Words>
  <Characters>11821</Characters>
  <Application>Microsoft Office Word</Application>
  <DocSecurity>0</DocSecurity>
  <Lines>98</Lines>
  <Paragraphs>27</Paragraphs>
  <ScaleCrop>false</ScaleCrop>
  <Company>Microsoft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2019-10-25T11:18:00Z</dcterms:created>
  <dcterms:modified xsi:type="dcterms:W3CDTF">2019-10-25T11:19:00Z</dcterms:modified>
</cp:coreProperties>
</file>